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BF1" w:rsidRDefault="00956ECB">
      <w:pPr>
        <w:tabs>
          <w:tab w:val="center" w:pos="538"/>
          <w:tab w:val="center" w:pos="1246"/>
          <w:tab w:val="center" w:pos="1954"/>
          <w:tab w:val="center" w:pos="2662"/>
          <w:tab w:val="center" w:pos="3371"/>
          <w:tab w:val="center" w:pos="4079"/>
          <w:tab w:val="right" w:pos="9642"/>
        </w:tabs>
        <w:spacing w:after="200"/>
      </w:pPr>
      <w:r>
        <w:tab/>
      </w:r>
      <w:r>
        <w:rPr>
          <w:rFonts w:ascii="Times New Roman" w:eastAsia="Times New Roman" w:hAnsi="Times New Roman" w:cs="Times New Roman"/>
          <w:b/>
        </w:rPr>
        <w:t xml:space="preserve">   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Corbel" w:eastAsia="Corbel" w:hAnsi="Corbel" w:cs="Corbel"/>
          <w:i/>
        </w:rPr>
        <w:t xml:space="preserve">Załącznik nr 1.5 do Zarządzenia Rektora UR  nr 12/2019 </w:t>
      </w:r>
    </w:p>
    <w:p w:rsidR="00622BF1" w:rsidRDefault="00956ECB">
      <w:pPr>
        <w:pStyle w:val="Nagwek1"/>
      </w:pPr>
      <w:r>
        <w:t xml:space="preserve">SYLABUS </w:t>
      </w:r>
    </w:p>
    <w:p w:rsidR="00622BF1" w:rsidRDefault="00956ECB">
      <w:pPr>
        <w:spacing w:after="0"/>
        <w:ind w:right="3"/>
        <w:jc w:val="center"/>
      </w:pPr>
      <w:r>
        <w:rPr>
          <w:rFonts w:ascii="Corbel" w:eastAsia="Corbel" w:hAnsi="Corbel" w:cs="Corbel"/>
          <w:b/>
          <w:sz w:val="19"/>
        </w:rPr>
        <w:t xml:space="preserve">DOTYCZY CYKLU KSZTAŁCENIA </w:t>
      </w:r>
      <w:r>
        <w:rPr>
          <w:rFonts w:ascii="Corbel" w:eastAsia="Corbel" w:hAnsi="Corbel" w:cs="Corbel"/>
          <w:i/>
          <w:sz w:val="24"/>
        </w:rPr>
        <w:t>2021-2024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622BF1" w:rsidRDefault="00956ECB">
      <w:pPr>
        <w:spacing w:after="7" w:line="250" w:lineRule="auto"/>
        <w:ind w:left="-5" w:hanging="10"/>
      </w:pPr>
      <w:r>
        <w:rPr>
          <w:rFonts w:ascii="Corbel" w:eastAsia="Corbel" w:hAnsi="Corbel" w:cs="Corbel"/>
          <w:i/>
          <w:sz w:val="24"/>
        </w:rPr>
        <w:t xml:space="preserve">                                                                                                             </w:t>
      </w:r>
      <w:r>
        <w:rPr>
          <w:rFonts w:ascii="Corbel" w:eastAsia="Corbel" w:hAnsi="Corbel" w:cs="Corbel"/>
          <w:i/>
          <w:sz w:val="20"/>
        </w:rPr>
        <w:t>(skrajne daty</w:t>
      </w:r>
      <w:r>
        <w:rPr>
          <w:rFonts w:ascii="Corbel" w:eastAsia="Corbel" w:hAnsi="Corbel" w:cs="Corbel"/>
          <w:sz w:val="20"/>
        </w:rPr>
        <w:t xml:space="preserve">) </w:t>
      </w:r>
    </w:p>
    <w:p w:rsidR="00622BF1" w:rsidRDefault="00956ECB">
      <w:pPr>
        <w:tabs>
          <w:tab w:val="center" w:pos="708"/>
          <w:tab w:val="center" w:pos="1416"/>
          <w:tab w:val="center" w:pos="2124"/>
          <w:tab w:val="center" w:pos="3975"/>
        </w:tabs>
        <w:spacing w:after="0"/>
        <w:ind w:left="-15"/>
      </w:pPr>
      <w:r>
        <w:rPr>
          <w:rFonts w:ascii="Corbel" w:eastAsia="Corbel" w:hAnsi="Corbel" w:cs="Corbel"/>
          <w:sz w:val="20"/>
        </w:rPr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</w:r>
      <w:r>
        <w:rPr>
          <w:rFonts w:ascii="Corbel" w:eastAsia="Corbel" w:hAnsi="Corbel" w:cs="Corbel"/>
          <w:sz w:val="20"/>
        </w:rPr>
        <w:t xml:space="preserve">Rok akademicki   2022/2023 </w:t>
      </w:r>
    </w:p>
    <w:p w:rsidR="00622BF1" w:rsidRDefault="00956ECB">
      <w:pPr>
        <w:spacing w:after="10"/>
      </w:pPr>
      <w:r>
        <w:rPr>
          <w:rFonts w:ascii="Corbel" w:eastAsia="Corbel" w:hAnsi="Corbel" w:cs="Corbel"/>
          <w:sz w:val="24"/>
        </w:rPr>
        <w:t xml:space="preserve"> </w:t>
      </w:r>
    </w:p>
    <w:p w:rsidR="00622BF1" w:rsidRDefault="00956ECB">
      <w:pPr>
        <w:pStyle w:val="Nagwek2"/>
        <w:ind w:left="-5" w:right="0"/>
      </w:pPr>
      <w:r>
        <w:rPr>
          <w:sz w:val="24"/>
        </w:rPr>
        <w:t>1.</w:t>
      </w:r>
      <w:r>
        <w:t xml:space="preserve"> </w:t>
      </w:r>
      <w:r>
        <w:rPr>
          <w:sz w:val="24"/>
        </w:rPr>
        <w:t>P</w:t>
      </w:r>
      <w:r>
        <w:t>ODSTAWOWE INFORMACJE O PRZEDMIOCIE</w:t>
      </w:r>
      <w:r>
        <w:rPr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142" w:type="dxa"/>
        <w:tblCellMar>
          <w:top w:w="21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693"/>
        <w:gridCol w:w="7089"/>
      </w:tblGrid>
      <w:tr w:rsidR="00622BF1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Nazwa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Socjologia kultury </w:t>
            </w:r>
          </w:p>
        </w:tc>
      </w:tr>
      <w:tr w:rsidR="00622BF1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Kod przedmiotu*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KM32 </w:t>
            </w:r>
          </w:p>
        </w:tc>
      </w:tr>
      <w:tr w:rsidR="00622BF1">
        <w:trPr>
          <w:trHeight w:val="49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nazwa jednostki prowadzącej kierunek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Kolegium Nauk Humanistycznych </w:t>
            </w:r>
          </w:p>
        </w:tc>
      </w:tr>
      <w:tr w:rsidR="00622BF1">
        <w:trPr>
          <w:trHeight w:val="59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Nazwa jednostki realizującej przedmiot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BF1" w:rsidRDefault="00956ECB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Kolegium Nauk Humanistycznych </w:t>
            </w:r>
          </w:p>
        </w:tc>
      </w:tr>
      <w:tr w:rsidR="00622BF1">
        <w:trPr>
          <w:trHeight w:val="30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Kierunek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Komunikacja międzykulturowa </w:t>
            </w:r>
          </w:p>
        </w:tc>
      </w:tr>
      <w:tr w:rsidR="00622BF1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Poziom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I stopnia </w:t>
            </w:r>
          </w:p>
        </w:tc>
      </w:tr>
      <w:tr w:rsidR="00622BF1">
        <w:trPr>
          <w:trHeight w:val="30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Profil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/>
              <w:ind w:left="2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Ogólnoakademicki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622BF1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Forma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Stacjonarne </w:t>
            </w:r>
          </w:p>
        </w:tc>
      </w:tr>
      <w:tr w:rsidR="00622BF1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Rok i semestr/y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Rok 2, semestr III </w:t>
            </w:r>
          </w:p>
        </w:tc>
      </w:tr>
      <w:tr w:rsidR="00622BF1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Rodzaj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Kierunkowy </w:t>
            </w:r>
          </w:p>
        </w:tc>
      </w:tr>
      <w:tr w:rsidR="00622BF1">
        <w:trPr>
          <w:trHeight w:val="30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Język wykładowy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jęz. polski </w:t>
            </w:r>
          </w:p>
        </w:tc>
      </w:tr>
      <w:tr w:rsidR="00622BF1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Koordynator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Magdalena Żardecka </w:t>
            </w:r>
          </w:p>
        </w:tc>
      </w:tr>
      <w:tr w:rsidR="00622BF1">
        <w:trPr>
          <w:trHeight w:val="88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Imię i nazwisko osoby prowadzącej / osób prowadzących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BF1" w:rsidRDefault="00956ECB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Dominik Porczyński </w:t>
            </w:r>
          </w:p>
        </w:tc>
      </w:tr>
    </w:tbl>
    <w:p w:rsidR="00622BF1" w:rsidRDefault="00956ECB">
      <w:pPr>
        <w:spacing w:after="269" w:line="250" w:lineRule="auto"/>
        <w:ind w:left="-5" w:hanging="10"/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>-</w:t>
      </w:r>
      <w:r>
        <w:rPr>
          <w:rFonts w:ascii="Corbel" w:eastAsia="Corbel" w:hAnsi="Corbel" w:cs="Corbel"/>
          <w:i/>
          <w:sz w:val="24"/>
        </w:rPr>
        <w:t>opcjonalni</w:t>
      </w:r>
      <w:r>
        <w:rPr>
          <w:rFonts w:ascii="Corbel" w:eastAsia="Corbel" w:hAnsi="Corbel" w:cs="Corbel"/>
          <w:sz w:val="24"/>
        </w:rPr>
        <w:t>e,</w:t>
      </w:r>
      <w:r>
        <w:rPr>
          <w:rFonts w:ascii="Corbel" w:eastAsia="Corbel" w:hAnsi="Corbel" w:cs="Corbel"/>
          <w:b/>
          <w:i/>
          <w:sz w:val="24"/>
        </w:rPr>
        <w:t xml:space="preserve"> </w:t>
      </w:r>
      <w:r>
        <w:rPr>
          <w:rFonts w:ascii="Corbel" w:eastAsia="Corbel" w:hAnsi="Corbel" w:cs="Corbel"/>
          <w:i/>
          <w:sz w:val="24"/>
        </w:rPr>
        <w:t>zgodnie z ustaleniami w Jednostce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622BF1" w:rsidRDefault="00956ECB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622BF1" w:rsidRDefault="00956ECB" w:rsidP="000D1279">
      <w:pPr>
        <w:pStyle w:val="Nagwek3"/>
        <w:spacing w:after="4" w:line="251" w:lineRule="auto"/>
        <w:ind w:right="0"/>
      </w:pPr>
      <w:bookmarkStart w:id="0" w:name="_GoBack"/>
      <w:bookmarkEnd w:id="0"/>
      <w:r>
        <w:rPr>
          <w:sz w:val="24"/>
        </w:rPr>
        <w:t xml:space="preserve">1.1.Formy zajęć dydaktycznych, wymiar godzin i punktów ECTS  </w:t>
      </w:r>
    </w:p>
    <w:p w:rsidR="00622BF1" w:rsidRDefault="00956ECB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748" w:type="dxa"/>
        <w:tblInd w:w="-108" w:type="dxa"/>
        <w:tblCellMar>
          <w:top w:w="54" w:type="dxa"/>
          <w:left w:w="108" w:type="dxa"/>
          <w:bottom w:w="0" w:type="dxa"/>
          <w:right w:w="60" w:type="dxa"/>
        </w:tblCellMar>
        <w:tblLook w:val="04A0" w:firstRow="1" w:lastRow="0" w:firstColumn="1" w:lastColumn="0" w:noHBand="0" w:noVBand="1"/>
      </w:tblPr>
      <w:tblGrid>
        <w:gridCol w:w="1048"/>
        <w:gridCol w:w="919"/>
        <w:gridCol w:w="802"/>
        <w:gridCol w:w="853"/>
        <w:gridCol w:w="811"/>
        <w:gridCol w:w="826"/>
        <w:gridCol w:w="780"/>
        <w:gridCol w:w="958"/>
        <w:gridCol w:w="1207"/>
        <w:gridCol w:w="1544"/>
      </w:tblGrid>
      <w:tr w:rsidR="00622BF1">
        <w:trPr>
          <w:trHeight w:val="835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96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Semestr </w:t>
            </w:r>
          </w:p>
          <w:p w:rsidR="00622BF1" w:rsidRDefault="00956ECB">
            <w:pPr>
              <w:spacing w:after="0"/>
              <w:ind w:right="48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(nr) 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BF1" w:rsidRDefault="00956ECB">
            <w:pPr>
              <w:spacing w:after="0"/>
              <w:ind w:left="72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Wykł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BF1" w:rsidRDefault="00956ECB">
            <w:pPr>
              <w:spacing w:after="0"/>
              <w:ind w:right="47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Ćw.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BF1" w:rsidRDefault="00956ECB">
            <w:pPr>
              <w:spacing w:after="0"/>
              <w:ind w:left="2"/>
              <w:jc w:val="both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Konw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BF1" w:rsidRDefault="00956ECB">
            <w:pPr>
              <w:spacing w:after="0"/>
              <w:ind w:left="79"/>
            </w:pPr>
            <w:r>
              <w:rPr>
                <w:rFonts w:ascii="Corbel" w:eastAsia="Corbel" w:hAnsi="Corbel" w:cs="Corbel"/>
                <w:sz w:val="24"/>
              </w:rPr>
              <w:t xml:space="preserve">Lab.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BF1" w:rsidRDefault="00956ECB">
            <w:pPr>
              <w:spacing w:after="0"/>
              <w:ind w:left="48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Sem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BF1" w:rsidRDefault="00956ECB">
            <w:pPr>
              <w:spacing w:after="0"/>
              <w:ind w:right="46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ZP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BF1" w:rsidRDefault="00956ECB">
            <w:pPr>
              <w:spacing w:after="0"/>
              <w:ind w:left="74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Prakt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BF1" w:rsidRDefault="00956ECB">
            <w:pPr>
              <w:spacing w:after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Inne (jakie?) 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BF1" w:rsidRDefault="00956ECB">
            <w:pPr>
              <w:spacing w:after="0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Liczba pkt. ECTS </w:t>
            </w:r>
          </w:p>
        </w:tc>
      </w:tr>
      <w:tr w:rsidR="00622BF1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/>
              <w:ind w:right="48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I 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/>
              <w:ind w:right="49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30 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/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/>
              <w:ind w:left="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/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/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/>
              <w:ind w:righ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/>
              <w:ind w:right="47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 </w:t>
            </w:r>
          </w:p>
        </w:tc>
      </w:tr>
    </w:tbl>
    <w:p w:rsidR="00622BF1" w:rsidRDefault="00956ECB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622BF1" w:rsidRDefault="00956ECB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622BF1" w:rsidRDefault="00956ECB">
      <w:pPr>
        <w:spacing w:after="12" w:line="250" w:lineRule="auto"/>
        <w:ind w:left="709" w:right="6004" w:hanging="425"/>
      </w:pPr>
      <w:r>
        <w:rPr>
          <w:rFonts w:ascii="Corbel" w:eastAsia="Corbel" w:hAnsi="Corbel" w:cs="Corbel"/>
          <w:b/>
          <w:sz w:val="24"/>
        </w:rPr>
        <w:t xml:space="preserve">1.2. Sposób realizacji zajęć  </w:t>
      </w:r>
      <w:r>
        <w:rPr>
          <w:rFonts w:ascii="Corbel" w:eastAsia="Corbel" w:hAnsi="Corbel" w:cs="Corbel"/>
          <w:sz w:val="24"/>
        </w:rPr>
        <w:t xml:space="preserve"> </w:t>
      </w:r>
      <w:r>
        <w:rPr>
          <w:rFonts w:ascii="MS Gothic" w:eastAsia="MS Gothic" w:hAnsi="MS Gothic" w:cs="MS Gothic"/>
          <w:sz w:val="24"/>
        </w:rPr>
        <w:t>X</w:t>
      </w:r>
      <w:r>
        <w:rPr>
          <w:rFonts w:ascii="Corbel" w:eastAsia="Corbel" w:hAnsi="Corbel" w:cs="Corbel"/>
          <w:sz w:val="24"/>
        </w:rPr>
        <w:t xml:space="preserve"> zajęcia w formie tradycyjnej  </w:t>
      </w:r>
    </w:p>
    <w:p w:rsidR="00622BF1" w:rsidRDefault="00956ECB">
      <w:pPr>
        <w:spacing w:after="0"/>
        <w:ind w:right="155"/>
        <w:jc w:val="center"/>
      </w:pPr>
      <w:r>
        <w:rPr>
          <w:rFonts w:ascii="MS Gothic" w:eastAsia="MS Gothic" w:hAnsi="MS Gothic" w:cs="MS Gothic"/>
          <w:sz w:val="24"/>
        </w:rPr>
        <w:t>☐</w:t>
      </w:r>
      <w:r>
        <w:rPr>
          <w:rFonts w:ascii="Corbel" w:eastAsia="Corbel" w:hAnsi="Corbel" w:cs="Corbel"/>
          <w:sz w:val="24"/>
        </w:rPr>
        <w:t xml:space="preserve"> </w:t>
      </w:r>
      <w:r>
        <w:rPr>
          <w:rFonts w:ascii="Corbel" w:eastAsia="Corbel" w:hAnsi="Corbel" w:cs="Corbel"/>
          <w:sz w:val="24"/>
        </w:rPr>
        <w:t xml:space="preserve">zajęcia realizowane z wykorzystaniem metod i technik kształcenia na odległość </w:t>
      </w:r>
    </w:p>
    <w:p w:rsidR="00622BF1" w:rsidRDefault="00956ECB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622BF1" w:rsidRDefault="00956ECB">
      <w:pPr>
        <w:spacing w:after="10"/>
        <w:ind w:right="9"/>
        <w:jc w:val="right"/>
      </w:pPr>
      <w:r>
        <w:rPr>
          <w:rFonts w:ascii="Corbel" w:eastAsia="Corbel" w:hAnsi="Corbel" w:cs="Corbel"/>
          <w:b/>
          <w:sz w:val="24"/>
        </w:rPr>
        <w:t xml:space="preserve">1.3  Forma zaliczenia przedmiotu  (z toku) </w:t>
      </w:r>
      <w:r>
        <w:rPr>
          <w:rFonts w:ascii="Corbel" w:eastAsia="Corbel" w:hAnsi="Corbel" w:cs="Corbel"/>
          <w:sz w:val="24"/>
        </w:rPr>
        <w:t>(egzamin, zaliczenie z oceną, zaliczenie bez oceny)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622BF1" w:rsidRDefault="00956ECB">
      <w:pPr>
        <w:spacing w:after="0"/>
      </w:pPr>
      <w:r>
        <w:rPr>
          <w:rFonts w:ascii="Corbel" w:eastAsia="Corbel" w:hAnsi="Corbel" w:cs="Corbel"/>
          <w:sz w:val="24"/>
        </w:rPr>
        <w:t>Z</w:t>
      </w:r>
      <w:r>
        <w:rPr>
          <w:rFonts w:ascii="Corbel" w:eastAsia="Corbel" w:hAnsi="Corbel" w:cs="Corbel"/>
          <w:sz w:val="19"/>
        </w:rPr>
        <w:t>ALICZENIE Z OCENĄ</w:t>
      </w:r>
      <w:r>
        <w:rPr>
          <w:rFonts w:ascii="Corbel" w:eastAsia="Corbel" w:hAnsi="Corbel" w:cs="Corbel"/>
          <w:sz w:val="24"/>
        </w:rPr>
        <w:t xml:space="preserve"> </w:t>
      </w:r>
    </w:p>
    <w:p w:rsidR="00622BF1" w:rsidRDefault="00956ECB">
      <w:pPr>
        <w:spacing w:after="7"/>
      </w:pPr>
      <w:r>
        <w:rPr>
          <w:rFonts w:ascii="Corbel" w:eastAsia="Corbel" w:hAnsi="Corbel" w:cs="Corbel"/>
          <w:sz w:val="24"/>
        </w:rPr>
        <w:t xml:space="preserve"> </w:t>
      </w:r>
    </w:p>
    <w:p w:rsidR="00622BF1" w:rsidRDefault="00956ECB">
      <w:pPr>
        <w:pStyle w:val="Nagwek2"/>
        <w:spacing w:after="35"/>
        <w:ind w:left="-5" w:right="0"/>
      </w:pPr>
      <w:r>
        <w:rPr>
          <w:sz w:val="24"/>
        </w:rPr>
        <w:lastRenderedPageBreak/>
        <w:t>2.W</w:t>
      </w:r>
      <w:r>
        <w:t xml:space="preserve">YMAGANIA WSTĘPNE </w:t>
      </w:r>
      <w:r>
        <w:rPr>
          <w:sz w:val="24"/>
        </w:rPr>
        <w:t xml:space="preserve"> </w:t>
      </w:r>
    </w:p>
    <w:p w:rsidR="00622BF1" w:rsidRDefault="00956ECB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43" w:line="250" w:lineRule="auto"/>
        <w:ind w:left="118" w:hanging="10"/>
      </w:pPr>
      <w:r>
        <w:rPr>
          <w:rFonts w:ascii="Corbel" w:eastAsia="Corbel" w:hAnsi="Corbel" w:cs="Corbel"/>
          <w:sz w:val="24"/>
        </w:rPr>
        <w:t xml:space="preserve">Wiedza wyniesiona z przedmiotów Język polski, Historia i Wiedza o społeczeństwie na poziomie szkoły ponadpodstawowej </w:t>
      </w:r>
    </w:p>
    <w:p w:rsidR="00622BF1" w:rsidRDefault="00956ECB">
      <w:pPr>
        <w:spacing w:after="11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622BF1" w:rsidRDefault="00956ECB">
      <w:pPr>
        <w:pStyle w:val="Nagwek3"/>
        <w:ind w:left="-5" w:right="0"/>
      </w:pPr>
      <w:r>
        <w:rPr>
          <w:sz w:val="24"/>
        </w:rPr>
        <w:t>3.</w:t>
      </w:r>
      <w:r>
        <w:t xml:space="preserve"> CELE</w:t>
      </w:r>
      <w:r>
        <w:rPr>
          <w:sz w:val="24"/>
        </w:rPr>
        <w:t>,</w:t>
      </w:r>
      <w:r>
        <w:t xml:space="preserve"> EFEKTY UCZENIA SIĘ </w:t>
      </w:r>
      <w:r>
        <w:rPr>
          <w:sz w:val="24"/>
        </w:rPr>
        <w:t>,</w:t>
      </w:r>
      <w:r>
        <w:t xml:space="preserve"> TREŚCI </w:t>
      </w:r>
      <w:r>
        <w:rPr>
          <w:sz w:val="24"/>
        </w:rPr>
        <w:t>P</w:t>
      </w:r>
      <w:r>
        <w:t xml:space="preserve">ROGRAMOWE I STOSOWANE METODY </w:t>
      </w:r>
      <w:r>
        <w:rPr>
          <w:sz w:val="24"/>
        </w:rPr>
        <w:t>D</w:t>
      </w:r>
      <w:r>
        <w:t>YDAKTYCZNE</w:t>
      </w:r>
      <w:r>
        <w:rPr>
          <w:sz w:val="24"/>
        </w:rPr>
        <w:t xml:space="preserve"> </w:t>
      </w:r>
    </w:p>
    <w:p w:rsidR="00622BF1" w:rsidRDefault="00956ECB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622BF1" w:rsidRDefault="00956ECB">
      <w:pPr>
        <w:pStyle w:val="Nagwek4"/>
        <w:ind w:left="370" w:right="0"/>
      </w:pPr>
      <w:r>
        <w:t xml:space="preserve">3.1 Cele przedmiotu </w:t>
      </w:r>
    </w:p>
    <w:p w:rsidR="00622BF1" w:rsidRDefault="00956ECB">
      <w:pPr>
        <w:spacing w:after="0"/>
        <w:ind w:left="360"/>
      </w:pPr>
      <w:r>
        <w:rPr>
          <w:rFonts w:ascii="Corbel" w:eastAsia="Corbel" w:hAnsi="Corbel" w:cs="Corbel"/>
          <w:i/>
          <w:sz w:val="24"/>
        </w:rPr>
        <w:t xml:space="preserve"> </w:t>
      </w:r>
    </w:p>
    <w:tbl>
      <w:tblPr>
        <w:tblStyle w:val="TableGrid"/>
        <w:tblW w:w="9672" w:type="dxa"/>
        <w:tblInd w:w="0" w:type="dxa"/>
        <w:tblCellMar>
          <w:top w:w="88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852"/>
        <w:gridCol w:w="8820"/>
      </w:tblGrid>
      <w:tr w:rsidR="00622BF1">
        <w:trPr>
          <w:trHeight w:val="89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BF1" w:rsidRDefault="00956ECB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C1 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/>
            </w:pPr>
            <w:r>
              <w:rPr>
                <w:rFonts w:ascii="Corbel" w:eastAsia="Corbel" w:hAnsi="Corbel" w:cs="Corbel"/>
              </w:rPr>
              <w:t>Przekazanie wiedzy na tema</w:t>
            </w:r>
            <w:r>
              <w:rPr>
                <w:rFonts w:ascii="Corbel" w:eastAsia="Corbel" w:hAnsi="Corbel" w:cs="Corbel"/>
              </w:rPr>
              <w:t>t socjologii kultury jako ważnego działu socjologii, stosowanych przez nią metod badawczych, jej związków z innymi dziedzinami wiedzy, najważniejszych jej przedstawicieli, najważniejszych problemów, którymi się zajmuje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622BF1">
        <w:trPr>
          <w:trHeight w:val="626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BF1" w:rsidRDefault="00956ECB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C2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/>
            </w:pPr>
            <w:r>
              <w:rPr>
                <w:rFonts w:ascii="Corbel" w:eastAsia="Corbel" w:hAnsi="Corbel" w:cs="Corbel"/>
              </w:rPr>
              <w:t>Zachęcenie do samodzielnej lektury prac socjologów kultury oraz samodzielnego obserwowania życia społecznego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622BF1">
        <w:trPr>
          <w:trHeight w:val="629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BF1" w:rsidRDefault="00956ECB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C3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/>
            </w:pPr>
            <w:r>
              <w:rPr>
                <w:rFonts w:ascii="Corbel" w:eastAsia="Corbel" w:hAnsi="Corbel" w:cs="Corbel"/>
              </w:rPr>
              <w:t>Wyrobienie umiejętności spoglądania na współczesne życie społeczne przez pryzmat pojęć i teorii socjologicznych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622BF1" w:rsidRDefault="00956ECB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622BF1" w:rsidRDefault="00956ECB">
      <w:pPr>
        <w:pStyle w:val="Nagwek4"/>
        <w:ind w:left="438" w:right="0"/>
      </w:pPr>
      <w:r>
        <w:t xml:space="preserve">3.2 </w:t>
      </w:r>
      <w:r>
        <w:t>Efekty uczenia się dla przedmiotu</w:t>
      </w:r>
      <w:r>
        <w:rPr>
          <w:b w:val="0"/>
        </w:rPr>
        <w:t xml:space="preserve">  </w:t>
      </w:r>
    </w:p>
    <w:p w:rsidR="00622BF1" w:rsidRDefault="00956ECB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72" w:type="dxa"/>
        <w:tblInd w:w="0" w:type="dxa"/>
        <w:tblCellMar>
          <w:top w:w="47" w:type="dxa"/>
          <w:left w:w="108" w:type="dxa"/>
          <w:bottom w:w="0" w:type="dxa"/>
          <w:right w:w="87" w:type="dxa"/>
        </w:tblCellMar>
        <w:tblLook w:val="04A0" w:firstRow="1" w:lastRow="0" w:firstColumn="1" w:lastColumn="0" w:noHBand="0" w:noVBand="1"/>
      </w:tblPr>
      <w:tblGrid>
        <w:gridCol w:w="1702"/>
        <w:gridCol w:w="6097"/>
        <w:gridCol w:w="1873"/>
      </w:tblGrid>
      <w:tr w:rsidR="00622BF1">
        <w:trPr>
          <w:trHeight w:val="889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BF1" w:rsidRDefault="00956ECB">
            <w:pPr>
              <w:spacing w:after="0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 (efekt uczenia się)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BF1" w:rsidRDefault="00956ECB">
            <w:pPr>
              <w:spacing w:after="0"/>
              <w:ind w:right="2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Treść efektu uczenia się zdefiniowanego dla przedmiotu 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Odniesienie do efektów  kierunkowych </w:t>
            </w:r>
            <w:r>
              <w:rPr>
                <w:rFonts w:ascii="Corbel" w:eastAsia="Corbel" w:hAnsi="Corbel" w:cs="Corbel"/>
                <w:sz w:val="24"/>
                <w:vertAlign w:val="superscript"/>
              </w:rPr>
              <w:footnoteReference w:id="1"/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622BF1">
        <w:trPr>
          <w:trHeight w:val="816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EK_01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Student lub studentka </w:t>
            </w:r>
            <w:r>
              <w:rPr>
                <w:rFonts w:ascii="Corbel" w:eastAsia="Corbel" w:hAnsi="Corbel" w:cs="Corbel"/>
              </w:rPr>
              <w:t xml:space="preserve">zna i rozumie społeczne aspekty instytucjonalnego i pozainstytucjonalnego przejawiania się zjawisk kulturowych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K_W09 </w:t>
            </w:r>
          </w:p>
        </w:tc>
      </w:tr>
      <w:tr w:rsidR="00622BF1">
        <w:trPr>
          <w:trHeight w:val="1085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EK_02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/>
            </w:pPr>
            <w:r>
              <w:rPr>
                <w:rFonts w:ascii="Corbel" w:eastAsia="Corbel" w:hAnsi="Corbel" w:cs="Corbel"/>
              </w:rPr>
              <w:t>Student lub studentka zna i rozumie lokalne, regionalne, państwowo-narodowe i globalne powiązania między różnymi przejawami pozai</w:t>
            </w:r>
            <w:r>
              <w:rPr>
                <w:rFonts w:ascii="Corbel" w:eastAsia="Corbel" w:hAnsi="Corbel" w:cs="Corbel"/>
              </w:rPr>
              <w:t xml:space="preserve">nstytucjonalnych lub instytucjonalnych zjawisk kulturowych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K_W10 </w:t>
            </w:r>
          </w:p>
        </w:tc>
      </w:tr>
      <w:tr w:rsidR="00622BF1">
        <w:trPr>
          <w:trHeight w:val="816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EK_03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Student lub studentka zna i rozumie wzajemne warunkowanie się przemian społecznych i kulturowych w różnych okresach historycznych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K_W11 </w:t>
            </w:r>
          </w:p>
        </w:tc>
      </w:tr>
      <w:tr w:rsidR="00622BF1">
        <w:trPr>
          <w:trHeight w:val="816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EK_04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Student lub studentka </w:t>
            </w:r>
            <w:r>
              <w:rPr>
                <w:rFonts w:ascii="Corbel" w:eastAsia="Corbel" w:hAnsi="Corbel" w:cs="Corbel"/>
              </w:rPr>
              <w:t xml:space="preserve">zna i rozumie znaczenie norm, wartości, wierzeń i praktyk w reprodukowaniu struktur i instytucji społecznych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K_W12 </w:t>
            </w:r>
          </w:p>
        </w:tc>
      </w:tr>
      <w:tr w:rsidR="00622BF1">
        <w:trPr>
          <w:trHeight w:val="547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EK_05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Student lub studentka rozwija swoją wyobraźnię socjologiczną w celu lepszej interpretacji zjawisk społecznych i kulturowych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K_U13 </w:t>
            </w:r>
          </w:p>
        </w:tc>
      </w:tr>
      <w:tr w:rsidR="00622BF1">
        <w:trPr>
          <w:trHeight w:val="547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EK_06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Student lub studentka uznaje wpływ zjawisk społecznych na komunikację międzykulturową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K_K05 </w:t>
            </w:r>
          </w:p>
        </w:tc>
      </w:tr>
    </w:tbl>
    <w:p w:rsidR="00622BF1" w:rsidRDefault="00956ECB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622BF1" w:rsidRDefault="00956ECB">
      <w:pPr>
        <w:pStyle w:val="Nagwek4"/>
        <w:ind w:left="438" w:right="0"/>
      </w:pPr>
      <w:r>
        <w:t xml:space="preserve">3.3 Treści programowe </w:t>
      </w:r>
      <w:r>
        <w:rPr>
          <w:b w:val="0"/>
        </w:rPr>
        <w:t xml:space="preserve">  </w:t>
      </w:r>
      <w:r>
        <w:t xml:space="preserve"> </w:t>
      </w:r>
    </w:p>
    <w:p w:rsidR="00622BF1" w:rsidRDefault="00956ECB">
      <w:pPr>
        <w:numPr>
          <w:ilvl w:val="0"/>
          <w:numId w:val="1"/>
        </w:numPr>
        <w:spacing w:after="12" w:line="250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wykładu  </w:t>
      </w:r>
    </w:p>
    <w:p w:rsidR="00622BF1" w:rsidRDefault="00956ECB">
      <w:pPr>
        <w:spacing w:after="0"/>
        <w:ind w:left="108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top w:w="54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9640"/>
      </w:tblGrid>
      <w:tr w:rsidR="00622BF1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Treści merytoryczne </w:t>
            </w:r>
          </w:p>
        </w:tc>
      </w:tr>
      <w:tr w:rsidR="00622BF1">
        <w:trPr>
          <w:trHeight w:val="303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/>
              <w:ind w:left="360"/>
            </w:pPr>
            <w:r>
              <w:rPr>
                <w:rFonts w:ascii="Corbel" w:eastAsia="Corbel" w:hAnsi="Corbel" w:cs="Corbel"/>
                <w:sz w:val="24"/>
              </w:rPr>
              <w:t>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Socjologia jako dyscyplina naukowa i jej miejsce wśród innych nauk o kulturze </w:t>
            </w:r>
          </w:p>
        </w:tc>
      </w:tr>
      <w:tr w:rsidR="00622BF1">
        <w:trPr>
          <w:trHeight w:val="305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/>
              <w:ind w:left="360"/>
            </w:pPr>
            <w:r>
              <w:rPr>
                <w:rFonts w:ascii="Corbel" w:eastAsia="Corbel" w:hAnsi="Corbel" w:cs="Corbel"/>
                <w:sz w:val="24"/>
              </w:rPr>
              <w:t>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Metodologiczne aspekty socjologicznego badania kultury </w:t>
            </w:r>
          </w:p>
        </w:tc>
      </w:tr>
      <w:tr w:rsidR="00622BF1">
        <w:trPr>
          <w:trHeight w:val="595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/>
              <w:ind w:left="720" w:hanging="360"/>
              <w:jc w:val="both"/>
            </w:pPr>
            <w:r>
              <w:rPr>
                <w:rFonts w:ascii="Corbel" w:eastAsia="Corbel" w:hAnsi="Corbel" w:cs="Corbel"/>
                <w:sz w:val="24"/>
              </w:rPr>
              <w:t>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Kultura jako przedmiot badań socjologii: od podejścia wąskiego do poszerzonego pola kultury </w:t>
            </w:r>
          </w:p>
        </w:tc>
      </w:tr>
      <w:tr w:rsidR="00622BF1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/>
              <w:ind w:left="360"/>
            </w:pPr>
            <w:r>
              <w:rPr>
                <w:rFonts w:ascii="Corbel" w:eastAsia="Corbel" w:hAnsi="Corbel" w:cs="Corbel"/>
                <w:sz w:val="24"/>
              </w:rPr>
              <w:t>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Kultura jako odzwierciedlenie społeczeństwa: koncepcje K. Marksa </w:t>
            </w:r>
          </w:p>
        </w:tc>
      </w:tr>
      <w:tr w:rsidR="00622BF1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/>
              <w:ind w:left="15"/>
              <w:jc w:val="center"/>
            </w:pPr>
            <w:r>
              <w:rPr>
                <w:rFonts w:ascii="Corbel" w:eastAsia="Corbel" w:hAnsi="Corbel" w:cs="Corbel"/>
                <w:sz w:val="24"/>
              </w:rPr>
              <w:t>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Społeczeństwo jako odzwierciedlenie kultury: koncepcje E. Durkheima i M. Webera </w:t>
            </w:r>
          </w:p>
        </w:tc>
      </w:tr>
      <w:tr w:rsidR="00622BF1">
        <w:trPr>
          <w:trHeight w:val="305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/>
              <w:ind w:left="360"/>
            </w:pPr>
            <w:r>
              <w:rPr>
                <w:rFonts w:ascii="Corbel" w:eastAsia="Corbel" w:hAnsi="Corbel" w:cs="Corbel"/>
                <w:sz w:val="24"/>
              </w:rPr>
              <w:t>6.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Społeczne wytwarzanie kultury: interakcjonizm symboliczny i światy sztuki </w:t>
            </w:r>
          </w:p>
        </w:tc>
      </w:tr>
      <w:tr w:rsidR="00622BF1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/>
              <w:ind w:left="360"/>
            </w:pPr>
            <w:r>
              <w:rPr>
                <w:rFonts w:ascii="Corbel" w:eastAsia="Corbel" w:hAnsi="Corbel" w:cs="Corbel"/>
                <w:sz w:val="24"/>
              </w:rPr>
              <w:t>7.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Produkcja, dystrybucja i odbiór kultury </w:t>
            </w:r>
          </w:p>
        </w:tc>
      </w:tr>
      <w:tr w:rsidR="00622BF1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/>
              <w:ind w:left="360"/>
            </w:pPr>
            <w:r>
              <w:rPr>
                <w:rFonts w:ascii="Corbel" w:eastAsia="Corbel" w:hAnsi="Corbel" w:cs="Corbel"/>
                <w:sz w:val="24"/>
              </w:rPr>
              <w:t>8.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Subkultury,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nowoplemiona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fandomy </w:t>
            </w:r>
          </w:p>
        </w:tc>
      </w:tr>
      <w:tr w:rsidR="00622BF1">
        <w:trPr>
          <w:trHeight w:val="305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>9.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Socjologia sztuki </w:t>
            </w:r>
          </w:p>
        </w:tc>
      </w:tr>
      <w:tr w:rsidR="00622BF1">
        <w:trPr>
          <w:trHeight w:val="303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>10.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Socjologia religii </w:t>
            </w:r>
          </w:p>
        </w:tc>
      </w:tr>
      <w:tr w:rsidR="00622BF1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>11.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Kultury lokalne i narodowe w procesach globalizacji </w:t>
            </w:r>
          </w:p>
        </w:tc>
      </w:tr>
      <w:tr w:rsidR="00622BF1">
        <w:trPr>
          <w:trHeight w:val="305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>12.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Przeszłość jako wartość: dziedzictwo, tradycja i pamięć jako przedmiot badań </w:t>
            </w:r>
          </w:p>
        </w:tc>
      </w:tr>
    </w:tbl>
    <w:p w:rsidR="00622BF1" w:rsidRDefault="00956ECB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622BF1" w:rsidRDefault="00956ECB">
      <w:pPr>
        <w:numPr>
          <w:ilvl w:val="0"/>
          <w:numId w:val="1"/>
        </w:numPr>
        <w:spacing w:after="12" w:line="250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ćwiczeń audytoryjnych, konwersatoryjnych, laboratoryjnych, zajęć praktycznych  </w:t>
      </w:r>
    </w:p>
    <w:p w:rsidR="00622BF1" w:rsidRDefault="00956ECB">
      <w:pPr>
        <w:spacing w:after="0"/>
        <w:ind w:left="72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top w:w="54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9640"/>
      </w:tblGrid>
      <w:tr w:rsidR="00622BF1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622BF1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622BF1">
        <w:trPr>
          <w:trHeight w:val="305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622BF1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622BF1" w:rsidRDefault="00956ECB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622BF1" w:rsidRDefault="00956ECB">
      <w:pPr>
        <w:pStyle w:val="Nagwek4"/>
        <w:ind w:left="438" w:right="0"/>
      </w:pPr>
      <w:r>
        <w:t>3.4 Metody dydaktyczne</w:t>
      </w:r>
      <w:r>
        <w:rPr>
          <w:b w:val="0"/>
        </w:rPr>
        <w:t xml:space="preserve">  </w:t>
      </w:r>
    </w:p>
    <w:p w:rsidR="00622BF1" w:rsidRDefault="00956ECB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622BF1" w:rsidRDefault="00956ECB">
      <w:pPr>
        <w:spacing w:after="0"/>
        <w:ind w:left="-5" w:hanging="10"/>
      </w:pPr>
      <w:r>
        <w:rPr>
          <w:rFonts w:ascii="Corbel" w:eastAsia="Corbel" w:hAnsi="Corbel" w:cs="Corbel"/>
          <w:sz w:val="20"/>
        </w:rPr>
        <w:t>Np</w:t>
      </w:r>
      <w:r>
        <w:rPr>
          <w:rFonts w:ascii="Corbel" w:eastAsia="Corbel" w:hAnsi="Corbel" w:cs="Corbel"/>
          <w:b/>
          <w:sz w:val="20"/>
        </w:rPr>
        <w:t>.:</w:t>
      </w:r>
      <w:r>
        <w:rPr>
          <w:rFonts w:ascii="Corbel" w:eastAsia="Corbel" w:hAnsi="Corbel" w:cs="Corbel"/>
          <w:b/>
          <w:sz w:val="16"/>
        </w:rPr>
        <w:t xml:space="preserve"> </w:t>
      </w:r>
      <w:r>
        <w:rPr>
          <w:rFonts w:ascii="Corbel" w:eastAsia="Corbel" w:hAnsi="Corbel" w:cs="Corbel"/>
          <w:b/>
          <w:sz w:val="20"/>
        </w:rPr>
        <w:t xml:space="preserve"> </w:t>
      </w:r>
    </w:p>
    <w:p w:rsidR="00622BF1" w:rsidRDefault="00956ECB">
      <w:pPr>
        <w:spacing w:after="7" w:line="250" w:lineRule="auto"/>
        <w:ind w:left="-5" w:hanging="10"/>
      </w:pPr>
      <w:r>
        <w:rPr>
          <w:rFonts w:ascii="Corbel" w:eastAsia="Corbel" w:hAnsi="Corbel" w:cs="Corbel"/>
          <w:i/>
          <w:sz w:val="16"/>
        </w:rPr>
        <w:t xml:space="preserve"> </w:t>
      </w:r>
      <w:r>
        <w:rPr>
          <w:rFonts w:ascii="Corbel" w:eastAsia="Corbel" w:hAnsi="Corbel" w:cs="Corbel"/>
          <w:i/>
          <w:sz w:val="20"/>
        </w:rPr>
        <w:t xml:space="preserve">Wykład: wykład problemowy, wykład z prezentacją multimedialną, metody kształcenia na odległość  </w:t>
      </w:r>
    </w:p>
    <w:p w:rsidR="00622BF1" w:rsidRDefault="00956ECB">
      <w:pPr>
        <w:spacing w:after="7" w:line="250" w:lineRule="auto"/>
        <w:ind w:left="-5" w:hanging="10"/>
      </w:pPr>
      <w:r>
        <w:rPr>
          <w:rFonts w:ascii="Corbel" w:eastAsia="Corbel" w:hAnsi="Corbel" w:cs="Corbel"/>
          <w:i/>
          <w:sz w:val="20"/>
        </w:rPr>
        <w:t xml:space="preserve">Ćwiczenia: analiza tekstów z dyskusją, metoda projektów (projekt badawczy, wdrożeniowy, praktyczny), praca </w:t>
      </w:r>
    </w:p>
    <w:p w:rsidR="00622BF1" w:rsidRDefault="00956ECB">
      <w:pPr>
        <w:spacing w:after="7" w:line="250" w:lineRule="auto"/>
        <w:ind w:left="-5" w:right="879" w:hanging="10"/>
      </w:pPr>
      <w:r>
        <w:rPr>
          <w:rFonts w:ascii="Corbel" w:eastAsia="Corbel" w:hAnsi="Corbel" w:cs="Corbel"/>
          <w:i/>
          <w:sz w:val="20"/>
        </w:rPr>
        <w:t>w grupach (rozwiązywanie zadań, dyskusja),</w:t>
      </w:r>
      <w:r>
        <w:rPr>
          <w:rFonts w:ascii="Corbel" w:eastAsia="Corbel" w:hAnsi="Corbel" w:cs="Corbel"/>
          <w:i/>
          <w:sz w:val="20"/>
        </w:rPr>
        <w:t xml:space="preserve">gry dydaktyczne, metody kształcenia na odległość  Laboratorium: wykonywanie doświadczeń, projektowanie doświadczeń  </w:t>
      </w:r>
    </w:p>
    <w:p w:rsidR="00622BF1" w:rsidRDefault="00956ECB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622BF1" w:rsidRDefault="00956ECB">
      <w:pPr>
        <w:spacing w:after="4" w:line="251" w:lineRule="auto"/>
        <w:ind w:left="-5" w:hanging="10"/>
      </w:pPr>
      <w:r>
        <w:rPr>
          <w:rFonts w:ascii="Corbel" w:eastAsia="Corbel" w:hAnsi="Corbel" w:cs="Corbel"/>
          <w:b/>
          <w:sz w:val="24"/>
        </w:rPr>
        <w:t xml:space="preserve">Wykład z prezentacją multimedialną </w:t>
      </w:r>
    </w:p>
    <w:p w:rsidR="00622BF1" w:rsidRDefault="00956ECB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622BF1" w:rsidRDefault="00956ECB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622BF1" w:rsidRDefault="00956ECB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622BF1" w:rsidRDefault="00956ECB">
      <w:pPr>
        <w:pStyle w:val="Nagwek4"/>
        <w:ind w:left="-5" w:right="0"/>
      </w:pPr>
      <w:r>
        <w:t xml:space="preserve">4. METODY I KRYTERIA OCENY  </w:t>
      </w:r>
    </w:p>
    <w:p w:rsidR="00622BF1" w:rsidRDefault="00956ECB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622BF1" w:rsidRDefault="00956ECB">
      <w:pPr>
        <w:pStyle w:val="Nagwek5"/>
        <w:ind w:left="438" w:right="0"/>
      </w:pPr>
      <w:r>
        <w:t xml:space="preserve">4.1 Sposoby weryfikacji efektów uczenia się </w:t>
      </w:r>
    </w:p>
    <w:p w:rsidR="00622BF1" w:rsidRDefault="00956ECB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top w:w="55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985"/>
        <w:gridCol w:w="5528"/>
        <w:gridCol w:w="2127"/>
      </w:tblGrid>
      <w:tr w:rsidR="00622BF1">
        <w:trPr>
          <w:trHeight w:val="89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BF1" w:rsidRDefault="00956ECB">
            <w:pPr>
              <w:spacing w:after="0"/>
              <w:ind w:left="9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Symbol efektu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/>
              <w:ind w:left="9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Metody oceny efektów uczenia się </w:t>
            </w:r>
          </w:p>
          <w:p w:rsidR="00622BF1" w:rsidRDefault="00956ECB">
            <w:pPr>
              <w:spacing w:after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(np.: kolokwium, egzamin ustny, egzamin pisemny, projekt, sprawozdanie, obserwacja w trakcie zajęć)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Forma zajęć dydaktycznych  </w:t>
            </w:r>
          </w:p>
          <w:p w:rsidR="00622BF1" w:rsidRDefault="00956ECB">
            <w:pPr>
              <w:spacing w:after="0"/>
              <w:ind w:left="9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(w,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ćw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…) </w:t>
            </w:r>
          </w:p>
        </w:tc>
      </w:tr>
      <w:tr w:rsidR="00622BF1">
        <w:trPr>
          <w:trHeight w:val="30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01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>P</w:t>
            </w:r>
            <w:r>
              <w:rPr>
                <w:rFonts w:ascii="Corbel" w:eastAsia="Corbel" w:hAnsi="Corbel" w:cs="Corbel"/>
                <w:sz w:val="19"/>
              </w:rPr>
              <w:t>RACA ZALICZENIOWA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19"/>
              </w:rPr>
              <w:t>W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622BF1">
        <w:trPr>
          <w:trHeight w:val="30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lastRenderedPageBreak/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02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>P</w:t>
            </w:r>
            <w:r>
              <w:rPr>
                <w:rFonts w:ascii="Corbel" w:eastAsia="Corbel" w:hAnsi="Corbel" w:cs="Corbel"/>
                <w:sz w:val="19"/>
              </w:rPr>
              <w:t>RACA ZALICZENIOWA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19"/>
              </w:rPr>
              <w:t>W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622BF1">
        <w:trPr>
          <w:trHeight w:val="30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 xml:space="preserve">_03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>P</w:t>
            </w:r>
            <w:r>
              <w:rPr>
                <w:rFonts w:ascii="Corbel" w:eastAsia="Corbel" w:hAnsi="Corbel" w:cs="Corbel"/>
                <w:sz w:val="19"/>
              </w:rPr>
              <w:t>RACA ZALICZENIOWA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19"/>
              </w:rPr>
              <w:t>W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622BF1">
        <w:trPr>
          <w:trHeight w:val="30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 xml:space="preserve">_04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>P</w:t>
            </w:r>
            <w:r>
              <w:rPr>
                <w:rFonts w:ascii="Corbel" w:eastAsia="Corbel" w:hAnsi="Corbel" w:cs="Corbel"/>
                <w:sz w:val="19"/>
              </w:rPr>
              <w:t>RACA ZALICZENIOWA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19"/>
              </w:rPr>
              <w:t>W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622BF1">
        <w:trPr>
          <w:trHeight w:val="30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 xml:space="preserve">_05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>P</w:t>
            </w:r>
            <w:r>
              <w:rPr>
                <w:rFonts w:ascii="Corbel" w:eastAsia="Corbel" w:hAnsi="Corbel" w:cs="Corbel"/>
                <w:sz w:val="19"/>
              </w:rPr>
              <w:t>RACA ZALICZENIOWA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19"/>
              </w:rPr>
              <w:t>W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622BF1">
        <w:trPr>
          <w:trHeight w:val="30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EK_06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>P</w:t>
            </w:r>
            <w:r>
              <w:rPr>
                <w:rFonts w:ascii="Corbel" w:eastAsia="Corbel" w:hAnsi="Corbel" w:cs="Corbel"/>
                <w:sz w:val="19"/>
              </w:rPr>
              <w:t>RACA ZALICZENIOWA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19"/>
              </w:rPr>
              <w:t>W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622BF1" w:rsidRDefault="00956ECB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622BF1" w:rsidRDefault="00956ECB">
      <w:pPr>
        <w:pStyle w:val="Nagwek5"/>
        <w:ind w:left="438" w:right="0"/>
      </w:pPr>
      <w:r>
        <w:t xml:space="preserve">4.2 Warunki zaliczenia przedmiotu (kryteria oceniania)  </w:t>
      </w:r>
    </w:p>
    <w:p w:rsidR="00622BF1" w:rsidRDefault="00956ECB">
      <w:pPr>
        <w:spacing w:after="0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672" w:type="dxa"/>
        <w:tblInd w:w="0" w:type="dxa"/>
        <w:tblCellMar>
          <w:top w:w="54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9672"/>
      </w:tblGrid>
      <w:tr w:rsidR="00622BF1">
        <w:trPr>
          <w:trHeight w:val="2354"/>
        </w:trPr>
        <w:tc>
          <w:tcPr>
            <w:tcW w:w="9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WYKŁAD </w:t>
            </w:r>
          </w:p>
          <w:p w:rsidR="00622BF1" w:rsidRDefault="00956ECB">
            <w:pPr>
              <w:spacing w:after="0" w:line="240" w:lineRule="auto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Obecność: dopuszczalna jest jedna nieobecność nieusprawiedliwiona. Każda kolejna obniża ocenę z przedmiotu. </w:t>
            </w:r>
          </w:p>
          <w:p w:rsidR="00622BF1" w:rsidRDefault="00956ECB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Praca zaliczeniowa poświęcona wybranemu zagadnieniu z zakresu socjologii kultury. </w:t>
            </w:r>
          </w:p>
          <w:p w:rsidR="00622BF1" w:rsidRDefault="00956ECB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Objętość: 20 tys. znaków, Times New Roman, 12 pkt., 1,5 wiersza </w:t>
            </w:r>
            <w:r>
              <w:rPr>
                <w:rFonts w:ascii="Corbel" w:eastAsia="Corbel" w:hAnsi="Corbel" w:cs="Corbel"/>
                <w:sz w:val="24"/>
              </w:rPr>
              <w:t>odstępu, justowanie, format *.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doc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lub *.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docx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przypisy harwardzkie. </w:t>
            </w:r>
          </w:p>
          <w:p w:rsidR="00622BF1" w:rsidRDefault="00956ECB">
            <w:pPr>
              <w:spacing w:after="0"/>
              <w:ind w:right="835"/>
            </w:pPr>
            <w:r>
              <w:rPr>
                <w:rFonts w:ascii="Corbel" w:eastAsia="Corbel" w:hAnsi="Corbel" w:cs="Corbel"/>
                <w:sz w:val="24"/>
              </w:rPr>
              <w:t xml:space="preserve">Praca powinna zawierać wstęp, rozwinięcie, zakończenie oraz spis literatury. Terminy: </w:t>
            </w:r>
          </w:p>
        </w:tc>
      </w:tr>
      <w:tr w:rsidR="00622BF1">
        <w:trPr>
          <w:trHeight w:val="2355"/>
        </w:trPr>
        <w:tc>
          <w:tcPr>
            <w:tcW w:w="9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 w:line="240" w:lineRule="auto"/>
              <w:ind w:right="1848"/>
            </w:pPr>
            <w:r>
              <w:rPr>
                <w:rFonts w:ascii="Corbel" w:eastAsia="Corbel" w:hAnsi="Corbel" w:cs="Corbel"/>
                <w:sz w:val="24"/>
              </w:rPr>
              <w:t>3 zajęcia – wstępne ustalenie tematu; 6 zajęcia – sformułowanie problemu i przedstawienie literatur</w:t>
            </w:r>
            <w:r>
              <w:rPr>
                <w:rFonts w:ascii="Corbel" w:eastAsia="Corbel" w:hAnsi="Corbel" w:cs="Corbel"/>
                <w:sz w:val="24"/>
              </w:rPr>
              <w:t xml:space="preserve">y do akceptacji; 12 zajęcia – dostarczenie gotowej pracy. </w:t>
            </w:r>
          </w:p>
          <w:p w:rsidR="00622BF1" w:rsidRDefault="00956ECB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622BF1" w:rsidRDefault="00956ECB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Literatura wykorzystana w pisaniu pracy powinna zawierać co najmniej trzy pozycje książkowe lub artykuły naukowe. Informacje ze stron internetowych mogą pełnić jedynie funkcję uzupełniającą i pow</w:t>
            </w:r>
            <w:r>
              <w:rPr>
                <w:rFonts w:ascii="Corbel" w:eastAsia="Corbel" w:hAnsi="Corbel" w:cs="Corbel"/>
                <w:sz w:val="24"/>
              </w:rPr>
              <w:t xml:space="preserve">inny być zweryfikowane przed wykorzystaniem w pracy. </w:t>
            </w:r>
          </w:p>
          <w:p w:rsidR="00622BF1" w:rsidRDefault="00956ECB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622BF1" w:rsidRDefault="00956ECB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622BF1" w:rsidRDefault="00956ECB">
      <w:pPr>
        <w:pStyle w:val="Nagwek4"/>
        <w:ind w:left="269" w:right="0" w:hanging="284"/>
      </w:pPr>
      <w:r>
        <w:t xml:space="preserve">5. CAŁKOWITY NAKŁAD PRACY STUDENTA POTRZEBNY DO OSIĄGNIĘCIA ZAŁOŻONYCH EFEKTÓW W GODZINACH ORAZ PUNKTACH ECTS  </w:t>
      </w:r>
    </w:p>
    <w:p w:rsidR="00622BF1" w:rsidRDefault="00956ECB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top w:w="54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4964"/>
        <w:gridCol w:w="4676"/>
      </w:tblGrid>
      <w:tr w:rsidR="00622BF1">
        <w:trPr>
          <w:trHeight w:val="596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BF1" w:rsidRDefault="00956ECB">
            <w:pPr>
              <w:spacing w:after="0"/>
              <w:ind w:left="3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Forma aktywności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Średnia liczba godzin na zrealizowanie aktywności </w:t>
            </w:r>
          </w:p>
        </w:tc>
      </w:tr>
      <w:tr w:rsidR="00622BF1">
        <w:trPr>
          <w:trHeight w:val="595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/>
              <w:ind w:right="1374"/>
            </w:pPr>
            <w:r>
              <w:rPr>
                <w:rFonts w:ascii="Corbel" w:eastAsia="Corbel" w:hAnsi="Corbel" w:cs="Corbel"/>
                <w:sz w:val="24"/>
              </w:rPr>
              <w:t xml:space="preserve">Godziny kontaktowe wynikające z harmonogramu studiów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30 </w:t>
            </w:r>
          </w:p>
        </w:tc>
      </w:tr>
      <w:tr w:rsidR="00622BF1">
        <w:trPr>
          <w:trHeight w:val="598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Inne z udziałem nauczyciela akademickiego (udział w konsultacjach, egzaminie)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5 </w:t>
            </w:r>
          </w:p>
        </w:tc>
      </w:tr>
      <w:tr w:rsidR="00622BF1">
        <w:trPr>
          <w:trHeight w:val="1181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Godziny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niekontaktowe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– praca własna studenta </w:t>
            </w:r>
          </w:p>
          <w:p w:rsidR="00622BF1" w:rsidRDefault="00956ECB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(przygotowanie do zajęć, egzaminu, napisanie referatu itp.)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40 </w:t>
            </w:r>
          </w:p>
        </w:tc>
      </w:tr>
      <w:tr w:rsidR="00622BF1">
        <w:trPr>
          <w:trHeight w:val="302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SUMA GODZIN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75 </w:t>
            </w:r>
          </w:p>
        </w:tc>
      </w:tr>
      <w:tr w:rsidR="00622BF1">
        <w:trPr>
          <w:trHeight w:val="305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SUMARYCZNA LICZBA PUNKTÓW ECTS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3 </w:t>
            </w:r>
          </w:p>
        </w:tc>
      </w:tr>
    </w:tbl>
    <w:p w:rsidR="00622BF1" w:rsidRDefault="00956ECB">
      <w:pPr>
        <w:spacing w:after="0" w:line="250" w:lineRule="auto"/>
        <w:ind w:left="438" w:hanging="10"/>
      </w:pPr>
      <w:r>
        <w:rPr>
          <w:rFonts w:ascii="Corbel" w:eastAsia="Corbel" w:hAnsi="Corbel" w:cs="Corbel"/>
          <w:i/>
          <w:sz w:val="24"/>
        </w:rPr>
        <w:t xml:space="preserve">* Należy uwzględnić, że 1 pkt ECTS odpowiada 25-30 godzin całkowitego nakładu pracy studenta. </w:t>
      </w:r>
    </w:p>
    <w:p w:rsidR="00622BF1" w:rsidRDefault="00956ECB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622BF1" w:rsidRDefault="00956ECB">
      <w:pPr>
        <w:pStyle w:val="Nagwek4"/>
        <w:ind w:left="-5" w:right="0"/>
      </w:pPr>
      <w:r>
        <w:t xml:space="preserve">6. PRAKTYKI ZAWODOWE W RAMACH PRZEDMIOTU </w:t>
      </w:r>
    </w:p>
    <w:p w:rsidR="00622BF1" w:rsidRDefault="00956ECB">
      <w:pPr>
        <w:spacing w:after="0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5" w:type="dxa"/>
        <w:tblInd w:w="567" w:type="dxa"/>
        <w:tblCellMar>
          <w:top w:w="54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0"/>
      </w:tblGrid>
      <w:tr w:rsidR="00622BF1">
        <w:trPr>
          <w:trHeight w:val="40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wymiar godzinowy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622BF1">
        <w:trPr>
          <w:trHeight w:val="595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zasady i formy odbywania praktyk 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622BF1" w:rsidRDefault="00956ECB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622BF1" w:rsidRDefault="00956ECB">
      <w:pPr>
        <w:pStyle w:val="Nagwek4"/>
        <w:ind w:left="-5" w:right="0"/>
      </w:pPr>
      <w:r>
        <w:t xml:space="preserve">7. LITERATURA  </w:t>
      </w:r>
    </w:p>
    <w:p w:rsidR="00622BF1" w:rsidRDefault="00956ECB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5" w:type="dxa"/>
        <w:tblInd w:w="567" w:type="dxa"/>
        <w:tblCellMar>
          <w:top w:w="54" w:type="dxa"/>
          <w:left w:w="110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7515"/>
      </w:tblGrid>
      <w:tr w:rsidR="00622BF1">
        <w:trPr>
          <w:trHeight w:val="3233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Literatura podstawowa: </w:t>
            </w:r>
          </w:p>
          <w:p w:rsidR="00622BF1" w:rsidRDefault="00956ECB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M.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Golka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: </w:t>
            </w:r>
            <w:r>
              <w:rPr>
                <w:rFonts w:ascii="Corbel" w:eastAsia="Corbel" w:hAnsi="Corbel" w:cs="Corbel"/>
                <w:i/>
                <w:sz w:val="24"/>
              </w:rPr>
              <w:t>Socjologia kultury</w:t>
            </w:r>
            <w:r>
              <w:rPr>
                <w:rFonts w:ascii="Corbel" w:eastAsia="Corbel" w:hAnsi="Corbel" w:cs="Corbel"/>
                <w:sz w:val="24"/>
              </w:rPr>
              <w:t xml:space="preserve">. Warszawa: Scholar, 2008. </w:t>
            </w:r>
          </w:p>
          <w:p w:rsidR="00622BF1" w:rsidRDefault="00956ECB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W.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Griswold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: </w:t>
            </w:r>
            <w:r>
              <w:rPr>
                <w:rFonts w:ascii="Corbel" w:eastAsia="Corbel" w:hAnsi="Corbel" w:cs="Corbel"/>
                <w:i/>
                <w:sz w:val="24"/>
              </w:rPr>
              <w:t>Socjologia kultury</w:t>
            </w:r>
            <w:r>
              <w:rPr>
                <w:rFonts w:ascii="Corbel" w:eastAsia="Corbel" w:hAnsi="Corbel" w:cs="Corbel"/>
                <w:sz w:val="24"/>
              </w:rPr>
              <w:t xml:space="preserve">. Warszawa: Wydawnictwo Naukowe PWN, 2013. </w:t>
            </w:r>
          </w:p>
          <w:p w:rsidR="00622BF1" w:rsidRDefault="00956ECB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A. Kłoskowska: </w:t>
            </w:r>
            <w:r>
              <w:rPr>
                <w:rFonts w:ascii="Corbel" w:eastAsia="Corbel" w:hAnsi="Corbel" w:cs="Corbel"/>
                <w:i/>
                <w:sz w:val="24"/>
              </w:rPr>
              <w:t>Socjologia kultury</w:t>
            </w:r>
            <w:r>
              <w:rPr>
                <w:rFonts w:ascii="Corbel" w:eastAsia="Corbel" w:hAnsi="Corbel" w:cs="Corbel"/>
                <w:sz w:val="24"/>
              </w:rPr>
              <w:t xml:space="preserve">: Warszawa: Wydawnictwo Naukowe PWN, 2007. </w:t>
            </w:r>
          </w:p>
          <w:p w:rsidR="00622BF1" w:rsidRDefault="00956ECB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J. Kurczewska: </w:t>
            </w:r>
            <w:r>
              <w:rPr>
                <w:rFonts w:ascii="Corbel" w:eastAsia="Corbel" w:hAnsi="Corbel" w:cs="Corbel"/>
                <w:i/>
                <w:sz w:val="24"/>
              </w:rPr>
              <w:t>Kanon kultury narodowej</w:t>
            </w:r>
            <w:r>
              <w:rPr>
                <w:rFonts w:ascii="Corbel" w:eastAsia="Corbel" w:hAnsi="Corbel" w:cs="Corbel"/>
                <w:sz w:val="24"/>
              </w:rPr>
              <w:t xml:space="preserve">. w: J. Kurczewska (red.) </w:t>
            </w:r>
            <w:r>
              <w:rPr>
                <w:rFonts w:ascii="Corbel" w:eastAsia="Corbel" w:hAnsi="Corbel" w:cs="Corbel"/>
                <w:i/>
                <w:sz w:val="24"/>
              </w:rPr>
              <w:t>Kanon kultury narodowe</w:t>
            </w:r>
            <w:r>
              <w:rPr>
                <w:rFonts w:ascii="Corbel" w:eastAsia="Corbel" w:hAnsi="Corbel" w:cs="Corbel"/>
                <w:sz w:val="24"/>
              </w:rPr>
              <w:t xml:space="preserve">j. Warszawa: Oficyna Naukowa, 2000. </w:t>
            </w:r>
          </w:p>
          <w:p w:rsidR="00622BF1" w:rsidRDefault="00956ECB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D. Porczyński: </w:t>
            </w:r>
            <w:r>
              <w:rPr>
                <w:rFonts w:ascii="Corbel" w:eastAsia="Corbel" w:hAnsi="Corbel" w:cs="Corbel"/>
                <w:i/>
                <w:sz w:val="24"/>
              </w:rPr>
              <w:t>Warsztaty wyobraźni i parki rozrywki: społeczne konstruowanie znaczeń w fandomach gier fabularnych</w:t>
            </w:r>
            <w:r>
              <w:rPr>
                <w:rFonts w:ascii="Corbel" w:eastAsia="Corbel" w:hAnsi="Corbel" w:cs="Corbel"/>
                <w:sz w:val="24"/>
              </w:rPr>
              <w:t xml:space="preserve">. Rzeszów: </w:t>
            </w:r>
          </w:p>
          <w:p w:rsidR="00622BF1" w:rsidRDefault="00956ECB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>Wydawnic</w:t>
            </w:r>
            <w:r>
              <w:rPr>
                <w:rFonts w:ascii="Corbel" w:eastAsia="Corbel" w:hAnsi="Corbel" w:cs="Corbel"/>
                <w:sz w:val="24"/>
              </w:rPr>
              <w:t xml:space="preserve">two UR, 2021. </w:t>
            </w:r>
          </w:p>
        </w:tc>
      </w:tr>
      <w:tr w:rsidR="00622BF1">
        <w:trPr>
          <w:trHeight w:val="598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BF1" w:rsidRDefault="00956ECB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Literatura uzupełniająca:  </w:t>
            </w:r>
          </w:p>
          <w:p w:rsidR="00622BF1" w:rsidRDefault="00956ECB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P.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Bourdieu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: </w:t>
            </w:r>
            <w:r>
              <w:rPr>
                <w:rFonts w:ascii="Corbel" w:eastAsia="Corbel" w:hAnsi="Corbel" w:cs="Corbel"/>
                <w:i/>
                <w:sz w:val="24"/>
              </w:rPr>
              <w:t>Dystynkcja. Społeczna krytyka władzy sądzenia</w:t>
            </w:r>
            <w:r>
              <w:rPr>
                <w:rFonts w:ascii="Corbel" w:eastAsia="Corbel" w:hAnsi="Corbel" w:cs="Corbel"/>
                <w:sz w:val="24"/>
              </w:rPr>
              <w:t xml:space="preserve">. Warszawa: </w:t>
            </w:r>
          </w:p>
        </w:tc>
      </w:tr>
    </w:tbl>
    <w:p w:rsidR="00622BF1" w:rsidRDefault="00956ECB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0" w:line="250" w:lineRule="auto"/>
        <w:ind w:left="672" w:hanging="10"/>
      </w:pPr>
      <w:r>
        <w:rPr>
          <w:rFonts w:ascii="Corbel" w:eastAsia="Corbel" w:hAnsi="Corbel" w:cs="Corbel"/>
          <w:sz w:val="24"/>
        </w:rPr>
        <w:t xml:space="preserve">Scholar, 2000. </w:t>
      </w:r>
    </w:p>
    <w:p w:rsidR="00622BF1" w:rsidRDefault="00956ECB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40" w:lineRule="auto"/>
        <w:ind w:left="662"/>
      </w:pPr>
      <w:r>
        <w:rPr>
          <w:rFonts w:ascii="Corbel" w:eastAsia="Corbel" w:hAnsi="Corbel" w:cs="Corbel"/>
          <w:sz w:val="24"/>
        </w:rPr>
        <w:t xml:space="preserve">N. Elias: </w:t>
      </w:r>
      <w:r>
        <w:rPr>
          <w:rFonts w:ascii="Corbel" w:eastAsia="Corbel" w:hAnsi="Corbel" w:cs="Corbel"/>
          <w:i/>
          <w:sz w:val="24"/>
        </w:rPr>
        <w:t xml:space="preserve">O procesie cywilizacji: analizy </w:t>
      </w:r>
      <w:proofErr w:type="spellStart"/>
      <w:r>
        <w:rPr>
          <w:rFonts w:ascii="Corbel" w:eastAsia="Corbel" w:hAnsi="Corbel" w:cs="Corbel"/>
          <w:i/>
          <w:sz w:val="24"/>
        </w:rPr>
        <w:t>socjo</w:t>
      </w:r>
      <w:proofErr w:type="spellEnd"/>
      <w:r>
        <w:rPr>
          <w:rFonts w:ascii="Corbel" w:eastAsia="Corbel" w:hAnsi="Corbel" w:cs="Corbel"/>
          <w:i/>
          <w:sz w:val="24"/>
        </w:rPr>
        <w:t>- i psychogenetyczne</w:t>
      </w:r>
      <w:r>
        <w:rPr>
          <w:rFonts w:ascii="Corbel" w:eastAsia="Corbel" w:hAnsi="Corbel" w:cs="Corbel"/>
          <w:sz w:val="24"/>
        </w:rPr>
        <w:t xml:space="preserve">. Warszawa: Wydawnictwo A.B., 2011. </w:t>
      </w:r>
    </w:p>
    <w:p w:rsidR="00622BF1" w:rsidRDefault="00956ECB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0" w:line="250" w:lineRule="auto"/>
        <w:ind w:left="672" w:hanging="10"/>
      </w:pPr>
      <w:r>
        <w:rPr>
          <w:rFonts w:ascii="Corbel" w:eastAsia="Corbel" w:hAnsi="Corbel" w:cs="Corbel"/>
          <w:sz w:val="24"/>
        </w:rPr>
        <w:t xml:space="preserve">A. Giddens: </w:t>
      </w:r>
      <w:r>
        <w:rPr>
          <w:rFonts w:ascii="Corbel" w:eastAsia="Corbel" w:hAnsi="Corbel" w:cs="Corbel"/>
          <w:i/>
          <w:sz w:val="24"/>
        </w:rPr>
        <w:t>Socjologia</w:t>
      </w:r>
      <w:r>
        <w:rPr>
          <w:rFonts w:ascii="Corbel" w:eastAsia="Corbel" w:hAnsi="Corbel" w:cs="Corbel"/>
          <w:sz w:val="24"/>
        </w:rPr>
        <w:t xml:space="preserve">. Warszawa: Wydawnictwo Naukowe PWN, 2000. </w:t>
      </w:r>
    </w:p>
    <w:p w:rsidR="00622BF1" w:rsidRDefault="00956ECB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0" w:line="250" w:lineRule="auto"/>
        <w:ind w:left="672" w:hanging="10"/>
      </w:pPr>
      <w:r>
        <w:rPr>
          <w:rFonts w:ascii="Corbel" w:eastAsia="Corbel" w:hAnsi="Corbel" w:cs="Corbel"/>
          <w:sz w:val="24"/>
        </w:rPr>
        <w:t xml:space="preserve">T. </w:t>
      </w:r>
      <w:proofErr w:type="spellStart"/>
      <w:r>
        <w:rPr>
          <w:rFonts w:ascii="Corbel" w:eastAsia="Corbel" w:hAnsi="Corbel" w:cs="Corbel"/>
          <w:sz w:val="24"/>
        </w:rPr>
        <w:t>Szlendak</w:t>
      </w:r>
      <w:proofErr w:type="spellEnd"/>
      <w:r>
        <w:rPr>
          <w:rFonts w:ascii="Corbel" w:eastAsia="Corbel" w:hAnsi="Corbel" w:cs="Corbel"/>
          <w:sz w:val="24"/>
        </w:rPr>
        <w:t xml:space="preserve">, K. </w:t>
      </w:r>
      <w:proofErr w:type="spellStart"/>
      <w:r>
        <w:rPr>
          <w:rFonts w:ascii="Corbel" w:eastAsia="Corbel" w:hAnsi="Corbel" w:cs="Corbel"/>
          <w:sz w:val="24"/>
        </w:rPr>
        <w:t>Olechnicki</w:t>
      </w:r>
      <w:proofErr w:type="spellEnd"/>
      <w:r>
        <w:rPr>
          <w:rFonts w:ascii="Corbel" w:eastAsia="Corbel" w:hAnsi="Corbel" w:cs="Corbel"/>
          <w:sz w:val="24"/>
        </w:rPr>
        <w:t xml:space="preserve">: </w:t>
      </w:r>
      <w:r>
        <w:rPr>
          <w:rFonts w:ascii="Corbel" w:eastAsia="Corbel" w:hAnsi="Corbel" w:cs="Corbel"/>
          <w:i/>
          <w:sz w:val="24"/>
        </w:rPr>
        <w:t>Nowe praktyki kulturowe Polaków</w:t>
      </w:r>
      <w:r>
        <w:rPr>
          <w:rFonts w:ascii="Corbel" w:eastAsia="Corbel" w:hAnsi="Corbel" w:cs="Corbel"/>
          <w:sz w:val="24"/>
        </w:rPr>
        <w:t xml:space="preserve">. Warszawa: </w:t>
      </w:r>
    </w:p>
    <w:p w:rsidR="00622BF1" w:rsidRDefault="00956ECB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0" w:line="250" w:lineRule="auto"/>
        <w:ind w:left="672" w:hanging="10"/>
      </w:pPr>
      <w:r>
        <w:rPr>
          <w:rFonts w:ascii="Corbel" w:eastAsia="Corbel" w:hAnsi="Corbel" w:cs="Corbel"/>
          <w:sz w:val="24"/>
        </w:rPr>
        <w:t xml:space="preserve">Wydawnictwo Naukowe PWN, 2017. </w:t>
      </w:r>
    </w:p>
    <w:p w:rsidR="00622BF1" w:rsidRDefault="00956ECB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662"/>
      </w:pPr>
      <w:r>
        <w:rPr>
          <w:rFonts w:ascii="Corbel" w:eastAsia="Corbel" w:hAnsi="Corbel" w:cs="Corbel"/>
          <w:sz w:val="24"/>
        </w:rPr>
        <w:t xml:space="preserve"> </w:t>
      </w:r>
    </w:p>
    <w:p w:rsidR="00622BF1" w:rsidRDefault="00956ECB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622BF1" w:rsidRDefault="00956ECB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622BF1" w:rsidRDefault="00956ECB">
      <w:pPr>
        <w:spacing w:after="12" w:line="250" w:lineRule="auto"/>
        <w:ind w:left="370" w:hanging="10"/>
      </w:pPr>
      <w:r>
        <w:rPr>
          <w:rFonts w:ascii="Corbel" w:eastAsia="Corbel" w:hAnsi="Corbel" w:cs="Corbel"/>
          <w:sz w:val="24"/>
        </w:rPr>
        <w:t>Akceptacja Kierownika Jednostki lub osoby upoważnionej</w:t>
      </w:r>
      <w:r>
        <w:rPr>
          <w:rFonts w:ascii="Corbel" w:eastAsia="Corbel" w:hAnsi="Corbel" w:cs="Corbel"/>
          <w:b/>
          <w:sz w:val="24"/>
        </w:rPr>
        <w:t xml:space="preserve"> </w:t>
      </w:r>
    </w:p>
    <w:sectPr w:rsidR="00622BF1">
      <w:footnotePr>
        <w:numRestart w:val="eachPage"/>
      </w:footnotePr>
      <w:pgSz w:w="11906" w:h="16838"/>
      <w:pgMar w:top="1138" w:right="1132" w:bottom="1132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6ECB" w:rsidRDefault="00956ECB">
      <w:pPr>
        <w:spacing w:after="0" w:line="240" w:lineRule="auto"/>
      </w:pPr>
      <w:r>
        <w:separator/>
      </w:r>
    </w:p>
  </w:endnote>
  <w:endnote w:type="continuationSeparator" w:id="0">
    <w:p w:rsidR="00956ECB" w:rsidRDefault="00956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6ECB" w:rsidRDefault="00956ECB">
      <w:pPr>
        <w:spacing w:after="0" w:line="266" w:lineRule="auto"/>
      </w:pPr>
      <w:r>
        <w:separator/>
      </w:r>
    </w:p>
  </w:footnote>
  <w:footnote w:type="continuationSeparator" w:id="0">
    <w:p w:rsidR="00956ECB" w:rsidRDefault="00956ECB">
      <w:pPr>
        <w:spacing w:after="0" w:line="266" w:lineRule="auto"/>
      </w:pPr>
      <w:r>
        <w:continuationSeparator/>
      </w:r>
    </w:p>
  </w:footnote>
  <w:footnote w:id="1">
    <w:p w:rsidR="00622BF1" w:rsidRDefault="00956ECB">
      <w:pPr>
        <w:pStyle w:val="footnotedescription"/>
      </w:pPr>
      <w:r>
        <w:rPr>
          <w:rStyle w:val="footnotemark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  <w: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DC573D"/>
    <w:multiLevelType w:val="hybridMultilevel"/>
    <w:tmpl w:val="108C4EB6"/>
    <w:lvl w:ilvl="0" w:tplc="FC90BA84">
      <w:start w:val="1"/>
      <w:numFmt w:val="upperLetter"/>
      <w:lvlText w:val="%1."/>
      <w:lvlJc w:val="left"/>
      <w:pPr>
        <w:ind w:left="1065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098FF1A">
      <w:start w:val="1"/>
      <w:numFmt w:val="lowerLetter"/>
      <w:lvlText w:val="%2"/>
      <w:lvlJc w:val="left"/>
      <w:pPr>
        <w:ind w:left="18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9BEB642">
      <w:start w:val="1"/>
      <w:numFmt w:val="lowerRoman"/>
      <w:lvlText w:val="%3"/>
      <w:lvlJc w:val="left"/>
      <w:pPr>
        <w:ind w:left="25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B72F98A">
      <w:start w:val="1"/>
      <w:numFmt w:val="decimal"/>
      <w:lvlText w:val="%4"/>
      <w:lvlJc w:val="left"/>
      <w:pPr>
        <w:ind w:left="32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5D869BC">
      <w:start w:val="1"/>
      <w:numFmt w:val="lowerLetter"/>
      <w:lvlText w:val="%5"/>
      <w:lvlJc w:val="left"/>
      <w:pPr>
        <w:ind w:left="39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D4D1A6">
      <w:start w:val="1"/>
      <w:numFmt w:val="lowerRoman"/>
      <w:lvlText w:val="%6"/>
      <w:lvlJc w:val="left"/>
      <w:pPr>
        <w:ind w:left="46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C6A4DF8">
      <w:start w:val="1"/>
      <w:numFmt w:val="decimal"/>
      <w:lvlText w:val="%7"/>
      <w:lvlJc w:val="left"/>
      <w:pPr>
        <w:ind w:left="54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EB8D00C">
      <w:start w:val="1"/>
      <w:numFmt w:val="lowerLetter"/>
      <w:lvlText w:val="%8"/>
      <w:lvlJc w:val="left"/>
      <w:pPr>
        <w:ind w:left="61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778C59C">
      <w:start w:val="1"/>
      <w:numFmt w:val="lowerRoman"/>
      <w:lvlText w:val="%9"/>
      <w:lvlJc w:val="left"/>
      <w:pPr>
        <w:ind w:left="68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BF1"/>
    <w:rsid w:val="000D1279"/>
    <w:rsid w:val="00622BF1"/>
    <w:rsid w:val="00956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A1436"/>
  <w15:docId w15:val="{7EF40032-AA88-4D39-99CF-7DE80573D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right="5"/>
      <w:jc w:val="center"/>
      <w:outlineLvl w:val="0"/>
    </w:pPr>
    <w:rPr>
      <w:rFonts w:ascii="Corbel" w:eastAsia="Corbel" w:hAnsi="Corbel" w:cs="Corbel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3"/>
      <w:ind w:left="10" w:right="3" w:hanging="10"/>
      <w:outlineLvl w:val="1"/>
    </w:pPr>
    <w:rPr>
      <w:rFonts w:ascii="Corbel" w:eastAsia="Corbel" w:hAnsi="Corbel" w:cs="Corbel"/>
      <w:b/>
      <w:color w:val="000000"/>
      <w:sz w:val="19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3"/>
      <w:ind w:left="10" w:right="3" w:hanging="10"/>
      <w:outlineLvl w:val="2"/>
    </w:pPr>
    <w:rPr>
      <w:rFonts w:ascii="Corbel" w:eastAsia="Corbel" w:hAnsi="Corbel" w:cs="Corbel"/>
      <w:b/>
      <w:color w:val="000000"/>
      <w:sz w:val="19"/>
    </w:rPr>
  </w:style>
  <w:style w:type="paragraph" w:styleId="Nagwek4">
    <w:name w:val="heading 4"/>
    <w:next w:val="Normalny"/>
    <w:link w:val="Nagwek4Znak"/>
    <w:uiPriority w:val="9"/>
    <w:unhideWhenUsed/>
    <w:qFormat/>
    <w:pPr>
      <w:keepNext/>
      <w:keepLines/>
      <w:spacing w:after="4" w:line="251" w:lineRule="auto"/>
      <w:ind w:left="10" w:right="5" w:hanging="10"/>
      <w:outlineLvl w:val="3"/>
    </w:pPr>
    <w:rPr>
      <w:rFonts w:ascii="Corbel" w:eastAsia="Corbel" w:hAnsi="Corbel" w:cs="Corbel"/>
      <w:b/>
      <w:color w:val="000000"/>
      <w:sz w:val="24"/>
    </w:rPr>
  </w:style>
  <w:style w:type="paragraph" w:styleId="Nagwek5">
    <w:name w:val="heading 5"/>
    <w:next w:val="Normalny"/>
    <w:link w:val="Nagwek5Znak"/>
    <w:uiPriority w:val="9"/>
    <w:unhideWhenUsed/>
    <w:qFormat/>
    <w:pPr>
      <w:keepNext/>
      <w:keepLines/>
      <w:spacing w:after="4" w:line="251" w:lineRule="auto"/>
      <w:ind w:left="10" w:right="5" w:hanging="10"/>
      <w:outlineLvl w:val="4"/>
    </w:pPr>
    <w:rPr>
      <w:rFonts w:ascii="Corbel" w:eastAsia="Corbel" w:hAnsi="Corbel" w:cs="Corbel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Corbel" w:eastAsia="Corbel" w:hAnsi="Corbel" w:cs="Corbel"/>
      <w:b/>
      <w:color w:val="000000"/>
      <w:sz w:val="19"/>
    </w:rPr>
  </w:style>
  <w:style w:type="character" w:customStyle="1" w:styleId="Nagwek1Znak">
    <w:name w:val="Nagłówek 1 Znak"/>
    <w:link w:val="Nagwek1"/>
    <w:rPr>
      <w:rFonts w:ascii="Corbel" w:eastAsia="Corbel" w:hAnsi="Corbel" w:cs="Corbel"/>
      <w:b/>
      <w:color w:val="000000"/>
      <w:sz w:val="24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66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20"/>
    </w:rPr>
  </w:style>
  <w:style w:type="character" w:customStyle="1" w:styleId="Nagwek3Znak">
    <w:name w:val="Nagłówek 3 Znak"/>
    <w:link w:val="Nagwek3"/>
    <w:rPr>
      <w:rFonts w:ascii="Corbel" w:eastAsia="Corbel" w:hAnsi="Corbel" w:cs="Corbel"/>
      <w:b/>
      <w:color w:val="000000"/>
      <w:sz w:val="19"/>
    </w:rPr>
  </w:style>
  <w:style w:type="character" w:customStyle="1" w:styleId="Nagwek4Znak">
    <w:name w:val="Nagłówek 4 Znak"/>
    <w:link w:val="Nagwek4"/>
    <w:rPr>
      <w:rFonts w:ascii="Corbel" w:eastAsia="Corbel" w:hAnsi="Corbel" w:cs="Corbel"/>
      <w:b/>
      <w:color w:val="000000"/>
      <w:sz w:val="24"/>
    </w:rPr>
  </w:style>
  <w:style w:type="character" w:customStyle="1" w:styleId="Nagwek5Znak">
    <w:name w:val="Nagłówek 5 Znak"/>
    <w:link w:val="Nagwek5"/>
    <w:rPr>
      <w:rFonts w:ascii="Corbel" w:eastAsia="Corbel" w:hAnsi="Corbel" w:cs="Corbel"/>
      <w:b/>
      <w:color w:val="000000"/>
      <w:sz w:val="24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1083</Words>
  <Characters>6501</Characters>
  <Application>Microsoft Office Word</Application>
  <DocSecurity>0</DocSecurity>
  <Lines>54</Lines>
  <Paragraphs>15</Paragraphs>
  <ScaleCrop>false</ScaleCrop>
  <Company/>
  <LinksUpToDate>false</LinksUpToDate>
  <CharactersWithSpaces>7569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Użytkownik systemu Windows</cp:lastModifiedBy>
  <cp:revision>3</cp:revision>
  <dcterms:created xsi:type="dcterms:W3CDTF">2024-08-09T09:49:00Z</dcterms:created>
  <dcterms:modified xsi:type="dcterms:W3CDTF">2024-08-09T09:49:00Z</dcterms:modified>
</cp:coreProperties>
</file>